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9C8" w:rsidRDefault="00D56F4F">
      <w:bookmarkStart w:id="0" w:name="_GoBack"/>
      <w:r>
        <w:rPr>
          <w:noProof/>
          <w:lang w:val="en-US"/>
        </w:rPr>
        <w:drawing>
          <wp:inline distT="0" distB="0" distL="0" distR="0" wp14:anchorId="7CCE1FAB" wp14:editId="0AA1CFB2">
            <wp:extent cx="9086850" cy="652462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1B09C8" w:rsidSect="00CC4478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EDB" w:rsidRDefault="00017EDB" w:rsidP="00C554EF">
      <w:pPr>
        <w:spacing w:after="0" w:line="240" w:lineRule="auto"/>
      </w:pPr>
      <w:r>
        <w:separator/>
      </w:r>
    </w:p>
  </w:endnote>
  <w:endnote w:type="continuationSeparator" w:id="0">
    <w:p w:rsidR="00017EDB" w:rsidRDefault="00017EDB" w:rsidP="00C5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Impact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859" w:rsidRDefault="00A608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EDB" w:rsidRDefault="00017EDB" w:rsidP="00C554EF">
      <w:pPr>
        <w:spacing w:after="0" w:line="240" w:lineRule="auto"/>
      </w:pPr>
      <w:r>
        <w:separator/>
      </w:r>
    </w:p>
  </w:footnote>
  <w:footnote w:type="continuationSeparator" w:id="0">
    <w:p w:rsidR="00017EDB" w:rsidRDefault="00017EDB" w:rsidP="00C554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4DF0"/>
    <w:rsid w:val="00017EDB"/>
    <w:rsid w:val="00033B4A"/>
    <w:rsid w:val="00096C16"/>
    <w:rsid w:val="000D4CC1"/>
    <w:rsid w:val="000F3E31"/>
    <w:rsid w:val="001808C1"/>
    <w:rsid w:val="001B09C8"/>
    <w:rsid w:val="001C3C37"/>
    <w:rsid w:val="002F2510"/>
    <w:rsid w:val="0030055A"/>
    <w:rsid w:val="003D46FC"/>
    <w:rsid w:val="00497DBC"/>
    <w:rsid w:val="00534964"/>
    <w:rsid w:val="00535820"/>
    <w:rsid w:val="00592DFD"/>
    <w:rsid w:val="00596EA0"/>
    <w:rsid w:val="005B3B8A"/>
    <w:rsid w:val="005C7BC9"/>
    <w:rsid w:val="005F4CA5"/>
    <w:rsid w:val="0064652B"/>
    <w:rsid w:val="00683002"/>
    <w:rsid w:val="00686DEF"/>
    <w:rsid w:val="0069596B"/>
    <w:rsid w:val="006B434B"/>
    <w:rsid w:val="00754294"/>
    <w:rsid w:val="007D3C4B"/>
    <w:rsid w:val="00830705"/>
    <w:rsid w:val="008461DD"/>
    <w:rsid w:val="008D367C"/>
    <w:rsid w:val="008E0801"/>
    <w:rsid w:val="008F40B3"/>
    <w:rsid w:val="00916652"/>
    <w:rsid w:val="009874FC"/>
    <w:rsid w:val="009A036F"/>
    <w:rsid w:val="00A24A2F"/>
    <w:rsid w:val="00A60859"/>
    <w:rsid w:val="00A778F7"/>
    <w:rsid w:val="00AD248A"/>
    <w:rsid w:val="00C554EF"/>
    <w:rsid w:val="00C61289"/>
    <w:rsid w:val="00C729D4"/>
    <w:rsid w:val="00CC4478"/>
    <w:rsid w:val="00D56F4F"/>
    <w:rsid w:val="00D57F59"/>
    <w:rsid w:val="00DA13B0"/>
    <w:rsid w:val="00DB2572"/>
    <w:rsid w:val="00E46D10"/>
    <w:rsid w:val="00EA22D8"/>
    <w:rsid w:val="00EB31BB"/>
    <w:rsid w:val="00F061D8"/>
    <w:rsid w:val="00F2277A"/>
    <w:rsid w:val="00F40B73"/>
    <w:rsid w:val="00F74DF0"/>
    <w:rsid w:val="00FC4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DD96E7-FF32-4754-AFE9-F0F0AC7D6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77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D14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D1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5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4E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55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4E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2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GB" sz="1800">
                <a:solidFill>
                  <a:schemeClr val="bg1">
                    <a:lumMod val="85000"/>
                  </a:schemeClr>
                </a:solidFill>
                <a:effectLst/>
              </a:rPr>
              <a:t>Length of Constitutional Process Stages (in months) </a:t>
            </a:r>
            <a:endParaRPr lang="en-US" sz="1800">
              <a:solidFill>
                <a:schemeClr val="bg1">
                  <a:lumMod val="85000"/>
                </a:schemeClr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40982507689683451"/>
          <c:y val="6.9329501695499729E-2"/>
          <c:w val="0.56960965245198003"/>
          <c:h val="0.73252025978504509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Constitution-writing Plan through Formation of Constitution-writing Body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Sheet1!$B$1:$S$1</c:f>
              <c:strCache>
                <c:ptCount val="18"/>
                <c:pt idx="0">
                  <c:v>Nepal (Pending)</c:v>
                </c:pt>
                <c:pt idx="1">
                  <c:v>Kenya (2005)</c:v>
                </c:pt>
                <c:pt idx="2">
                  <c:v>Iceland (2012)</c:v>
                </c:pt>
                <c:pt idx="3">
                  <c:v>Eritrea (1997)</c:v>
                </c:pt>
                <c:pt idx="4">
                  <c:v>Tunisia (2014)</c:v>
                </c:pt>
                <c:pt idx="5">
                  <c:v>Egypt (2014)</c:v>
                </c:pt>
                <c:pt idx="6">
                  <c:v>Iraq (2005)</c:v>
                </c:pt>
                <c:pt idx="7">
                  <c:v>Hungary (1991)</c:v>
                </c:pt>
                <c:pt idx="8">
                  <c:v>Egypt (2012)</c:v>
                </c:pt>
                <c:pt idx="9">
                  <c:v>Cambodia (1993)</c:v>
                </c:pt>
                <c:pt idx="10">
                  <c:v>Bosnia (1995)</c:v>
                </c:pt>
                <c:pt idx="11">
                  <c:v>Afghanistan (2004)</c:v>
                </c:pt>
                <c:pt idx="12">
                  <c:v>Poland (1997)</c:v>
                </c:pt>
                <c:pt idx="13">
                  <c:v>Morocco (2011)</c:v>
                </c:pt>
                <c:pt idx="14">
                  <c:v>Kenya (2010)</c:v>
                </c:pt>
                <c:pt idx="15">
                  <c:v>United States (1789)</c:v>
                </c:pt>
                <c:pt idx="16">
                  <c:v>South Africa (1996)</c:v>
                </c:pt>
                <c:pt idx="17">
                  <c:v>Norway (1814)</c:v>
                </c:pt>
              </c:strCache>
            </c:strRef>
          </c:cat>
          <c:val>
            <c:numRef>
              <c:f>Sheet1!$B$2:$S$2</c:f>
              <c:numCache>
                <c:formatCode>General</c:formatCode>
                <c:ptCount val="18"/>
                <c:pt idx="0">
                  <c:v>17</c:v>
                </c:pt>
                <c:pt idx="1">
                  <c:v>48</c:v>
                </c:pt>
                <c:pt idx="2">
                  <c:v>5</c:v>
                </c:pt>
                <c:pt idx="3">
                  <c:v>43.5</c:v>
                </c:pt>
                <c:pt idx="4">
                  <c:v>8.33</c:v>
                </c:pt>
                <c:pt idx="5">
                  <c:v>2</c:v>
                </c:pt>
                <c:pt idx="6">
                  <c:v>14</c:v>
                </c:pt>
                <c:pt idx="7">
                  <c:v>7</c:v>
                </c:pt>
                <c:pt idx="8">
                  <c:v>14.5</c:v>
                </c:pt>
                <c:pt idx="9">
                  <c:v>19</c:v>
                </c:pt>
                <c:pt idx="10">
                  <c:v>1</c:v>
                </c:pt>
                <c:pt idx="11">
                  <c:v>15</c:v>
                </c:pt>
                <c:pt idx="12">
                  <c:v>18</c:v>
                </c:pt>
                <c:pt idx="13">
                  <c:v>0</c:v>
                </c:pt>
                <c:pt idx="14">
                  <c:v>3</c:v>
                </c:pt>
                <c:pt idx="15">
                  <c:v>8</c:v>
                </c:pt>
                <c:pt idx="16">
                  <c:v>24</c:v>
                </c:pt>
                <c:pt idx="17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Creating a Draft Constitution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Sheet1!$B$1:$S$1</c:f>
              <c:strCache>
                <c:ptCount val="18"/>
                <c:pt idx="0">
                  <c:v>Nepal (Pending)</c:v>
                </c:pt>
                <c:pt idx="1">
                  <c:v>Kenya (2005)</c:v>
                </c:pt>
                <c:pt idx="2">
                  <c:v>Iceland (2012)</c:v>
                </c:pt>
                <c:pt idx="3">
                  <c:v>Eritrea (1997)</c:v>
                </c:pt>
                <c:pt idx="4">
                  <c:v>Tunisia (2014)</c:v>
                </c:pt>
                <c:pt idx="5">
                  <c:v>Egypt (2014)</c:v>
                </c:pt>
                <c:pt idx="6">
                  <c:v>Iraq (2005)</c:v>
                </c:pt>
                <c:pt idx="7">
                  <c:v>Hungary (1991)</c:v>
                </c:pt>
                <c:pt idx="8">
                  <c:v>Egypt (2012)</c:v>
                </c:pt>
                <c:pt idx="9">
                  <c:v>Cambodia (1993)</c:v>
                </c:pt>
                <c:pt idx="10">
                  <c:v>Bosnia (1995)</c:v>
                </c:pt>
                <c:pt idx="11">
                  <c:v>Afghanistan (2004)</c:v>
                </c:pt>
                <c:pt idx="12">
                  <c:v>Poland (1997)</c:v>
                </c:pt>
                <c:pt idx="13">
                  <c:v>Morocco (2011)</c:v>
                </c:pt>
                <c:pt idx="14">
                  <c:v>Kenya (2010)</c:v>
                </c:pt>
                <c:pt idx="15">
                  <c:v>United States (1789)</c:v>
                </c:pt>
                <c:pt idx="16">
                  <c:v>South Africa (1996)</c:v>
                </c:pt>
                <c:pt idx="17">
                  <c:v>Norway (1814)</c:v>
                </c:pt>
              </c:strCache>
            </c:strRef>
          </c:cat>
          <c:val>
            <c:numRef>
              <c:f>Sheet1!$B$3:$S$3</c:f>
              <c:numCache>
                <c:formatCode>General</c:formatCode>
                <c:ptCount val="18"/>
                <c:pt idx="0">
                  <c:v>48</c:v>
                </c:pt>
                <c:pt idx="1">
                  <c:v>16</c:v>
                </c:pt>
                <c:pt idx="2">
                  <c:v>4</c:v>
                </c:pt>
                <c:pt idx="3">
                  <c:v>27</c:v>
                </c:pt>
                <c:pt idx="4">
                  <c:v>8.6999999999999993</c:v>
                </c:pt>
                <c:pt idx="5">
                  <c:v>2.68</c:v>
                </c:pt>
                <c:pt idx="6">
                  <c:v>3.13</c:v>
                </c:pt>
                <c:pt idx="7">
                  <c:v>3</c:v>
                </c:pt>
                <c:pt idx="8">
                  <c:v>3.67</c:v>
                </c:pt>
                <c:pt idx="9">
                  <c:v>3</c:v>
                </c:pt>
                <c:pt idx="10">
                  <c:v>0.1</c:v>
                </c:pt>
                <c:pt idx="11">
                  <c:v>12</c:v>
                </c:pt>
                <c:pt idx="12">
                  <c:v>14.5</c:v>
                </c:pt>
                <c:pt idx="13">
                  <c:v>3.23</c:v>
                </c:pt>
                <c:pt idx="14">
                  <c:v>8</c:v>
                </c:pt>
                <c:pt idx="15">
                  <c:v>2.75</c:v>
                </c:pt>
                <c:pt idx="16">
                  <c:v>15</c:v>
                </c:pt>
                <c:pt idx="17">
                  <c:v>0.75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From Draft Constitution to Final Draft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Sheet1!$B$1:$S$1</c:f>
              <c:strCache>
                <c:ptCount val="18"/>
                <c:pt idx="0">
                  <c:v>Nepal (Pending)</c:v>
                </c:pt>
                <c:pt idx="1">
                  <c:v>Kenya (2005)</c:v>
                </c:pt>
                <c:pt idx="2">
                  <c:v>Iceland (2012)</c:v>
                </c:pt>
                <c:pt idx="3">
                  <c:v>Eritrea (1997)</c:v>
                </c:pt>
                <c:pt idx="4">
                  <c:v>Tunisia (2014)</c:v>
                </c:pt>
                <c:pt idx="5">
                  <c:v>Egypt (2014)</c:v>
                </c:pt>
                <c:pt idx="6">
                  <c:v>Iraq (2005)</c:v>
                </c:pt>
                <c:pt idx="7">
                  <c:v>Hungary (1991)</c:v>
                </c:pt>
                <c:pt idx="8">
                  <c:v>Egypt (2012)</c:v>
                </c:pt>
                <c:pt idx="9">
                  <c:v>Cambodia (1993)</c:v>
                </c:pt>
                <c:pt idx="10">
                  <c:v>Bosnia (1995)</c:v>
                </c:pt>
                <c:pt idx="11">
                  <c:v>Afghanistan (2004)</c:v>
                </c:pt>
                <c:pt idx="12">
                  <c:v>Poland (1997)</c:v>
                </c:pt>
                <c:pt idx="13">
                  <c:v>Morocco (2011)</c:v>
                </c:pt>
                <c:pt idx="14">
                  <c:v>Kenya (2010)</c:v>
                </c:pt>
                <c:pt idx="15">
                  <c:v>United States (1789)</c:v>
                </c:pt>
                <c:pt idx="16">
                  <c:v>South Africa (1996)</c:v>
                </c:pt>
                <c:pt idx="17">
                  <c:v>Norway (1814)</c:v>
                </c:pt>
              </c:strCache>
            </c:strRef>
          </c:cat>
          <c:val>
            <c:numRef>
              <c:f>Sheet1!$B$4:$S$4</c:f>
              <c:numCache>
                <c:formatCode>General</c:formatCode>
                <c:ptCount val="18"/>
                <c:pt idx="0">
                  <c:v>0</c:v>
                </c:pt>
                <c:pt idx="1">
                  <c:v>19</c:v>
                </c:pt>
                <c:pt idx="2">
                  <c:v>0</c:v>
                </c:pt>
                <c:pt idx="3">
                  <c:v>10</c:v>
                </c:pt>
                <c:pt idx="4">
                  <c:v>9.6</c:v>
                </c:pt>
                <c:pt idx="5">
                  <c:v>0</c:v>
                </c:pt>
                <c:pt idx="6">
                  <c:v>1.5</c:v>
                </c:pt>
                <c:pt idx="7">
                  <c:v>1</c:v>
                </c:pt>
                <c:pt idx="8">
                  <c:v>1.6</c:v>
                </c:pt>
                <c:pt idx="9">
                  <c:v>0.18</c:v>
                </c:pt>
                <c:pt idx="10">
                  <c:v>0.6</c:v>
                </c:pt>
                <c:pt idx="11">
                  <c:v>2</c:v>
                </c:pt>
                <c:pt idx="12">
                  <c:v>24</c:v>
                </c:pt>
                <c:pt idx="13">
                  <c:v>0.75</c:v>
                </c:pt>
                <c:pt idx="14">
                  <c:v>5</c:v>
                </c:pt>
                <c:pt idx="15">
                  <c:v>1.5</c:v>
                </c:pt>
                <c:pt idx="16">
                  <c:v>8</c:v>
                </c:pt>
                <c:pt idx="17">
                  <c:v>0.5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Final Draft through Ratification and Implementation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Sheet1!$B$1:$S$1</c:f>
              <c:strCache>
                <c:ptCount val="18"/>
                <c:pt idx="0">
                  <c:v>Nepal (Pending)</c:v>
                </c:pt>
                <c:pt idx="1">
                  <c:v>Kenya (2005)</c:v>
                </c:pt>
                <c:pt idx="2">
                  <c:v>Iceland (2012)</c:v>
                </c:pt>
                <c:pt idx="3">
                  <c:v>Eritrea (1997)</c:v>
                </c:pt>
                <c:pt idx="4">
                  <c:v>Tunisia (2014)</c:v>
                </c:pt>
                <c:pt idx="5">
                  <c:v>Egypt (2014)</c:v>
                </c:pt>
                <c:pt idx="6">
                  <c:v>Iraq (2005)</c:v>
                </c:pt>
                <c:pt idx="7">
                  <c:v>Hungary (1991)</c:v>
                </c:pt>
                <c:pt idx="8">
                  <c:v>Egypt (2012)</c:v>
                </c:pt>
                <c:pt idx="9">
                  <c:v>Cambodia (1993)</c:v>
                </c:pt>
                <c:pt idx="10">
                  <c:v>Bosnia (1995)</c:v>
                </c:pt>
                <c:pt idx="11">
                  <c:v>Afghanistan (2004)</c:v>
                </c:pt>
                <c:pt idx="12">
                  <c:v>Poland (1997)</c:v>
                </c:pt>
                <c:pt idx="13">
                  <c:v>Morocco (2011)</c:v>
                </c:pt>
                <c:pt idx="14">
                  <c:v>Kenya (2010)</c:v>
                </c:pt>
                <c:pt idx="15">
                  <c:v>United States (1789)</c:v>
                </c:pt>
                <c:pt idx="16">
                  <c:v>South Africa (1996)</c:v>
                </c:pt>
                <c:pt idx="17">
                  <c:v>Norway (1814)</c:v>
                </c:pt>
              </c:strCache>
            </c:strRef>
          </c:cat>
          <c:val>
            <c:numRef>
              <c:f>Sheet1!$B$5:$S$5</c:f>
              <c:numCache>
                <c:formatCode>General</c:formatCode>
                <c:ptCount val="18"/>
                <c:pt idx="0">
                  <c:v>0</c:v>
                </c:pt>
                <c:pt idx="1">
                  <c:v>21</c:v>
                </c:pt>
                <c:pt idx="2">
                  <c:v>12</c:v>
                </c:pt>
                <c:pt idx="3">
                  <c:v>0.1</c:v>
                </c:pt>
                <c:pt idx="4">
                  <c:v>8.1999999999999993</c:v>
                </c:pt>
                <c:pt idx="5">
                  <c:v>1.6</c:v>
                </c:pt>
                <c:pt idx="6">
                  <c:v>0.1</c:v>
                </c:pt>
                <c:pt idx="7">
                  <c:v>24</c:v>
                </c:pt>
                <c:pt idx="8">
                  <c:v>0.9</c:v>
                </c:pt>
                <c:pt idx="9">
                  <c:v>0.1</c:v>
                </c:pt>
                <c:pt idx="10">
                  <c:v>0.75</c:v>
                </c:pt>
                <c:pt idx="11">
                  <c:v>0.7</c:v>
                </c:pt>
                <c:pt idx="12">
                  <c:v>6</c:v>
                </c:pt>
                <c:pt idx="13">
                  <c:v>1.4</c:v>
                </c:pt>
                <c:pt idx="14">
                  <c:v>6</c:v>
                </c:pt>
                <c:pt idx="15">
                  <c:v>9</c:v>
                </c:pt>
                <c:pt idx="16">
                  <c:v>7</c:v>
                </c:pt>
                <c:pt idx="17">
                  <c:v>0.8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100"/>
        <c:axId val="292071440"/>
        <c:axId val="292073792"/>
      </c:barChart>
      <c:catAx>
        <c:axId val="292071440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2000" b="0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2000" b="0" cap="none" baseline="0">
                    <a:latin typeface="+mn-lt"/>
                  </a:rPr>
                  <a:t>Overall Constitutional Success</a:t>
                </a:r>
              </a:p>
            </c:rich>
          </c:tx>
          <c:layout>
            <c:manualLayout>
              <c:xMode val="edge"/>
              <c:yMode val="edge"/>
              <c:x val="2.2613336854905717E-2"/>
              <c:y val="0.1693338697626300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2000" b="0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15875" cap="flat" cmpd="sng" algn="ctr">
            <a:gradFill flip="none" rotWithShape="1">
              <a:gsLst>
                <a:gs pos="0">
                  <a:schemeClr val="bg1">
                    <a:lumMod val="75000"/>
                  </a:schemeClr>
                </a:gs>
                <a:gs pos="74000">
                  <a:schemeClr val="accent1">
                    <a:lumMod val="45000"/>
                    <a:lumOff val="55000"/>
                  </a:schemeClr>
                </a:gs>
                <a:gs pos="83000">
                  <a:schemeClr val="accent1">
                    <a:lumMod val="45000"/>
                    <a:lumOff val="55000"/>
                  </a:schemeClr>
                </a:gs>
                <a:gs pos="100000">
                  <a:schemeClr val="accent1">
                    <a:lumMod val="30000"/>
                    <a:lumOff val="70000"/>
                  </a:schemeClr>
                </a:gs>
              </a:gsLst>
              <a:lin ang="2700000" scaled="0"/>
              <a:tileRect/>
            </a:gradFill>
            <a:prstDash val="solid"/>
            <a:round/>
            <a:tailEnd type="none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2073792"/>
        <c:crosses val="autoZero"/>
        <c:auto val="1"/>
        <c:lblAlgn val="ctr"/>
        <c:lblOffset val="100"/>
        <c:noMultiLvlLbl val="0"/>
      </c:catAx>
      <c:valAx>
        <c:axId val="292073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bg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2071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2734335880970854"/>
          <c:y val="0.84912083069908229"/>
          <c:w val="0.74950615449798341"/>
          <c:h val="0.1411468092035940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 w="6350" cap="flat" cmpd="sng" algn="ctr">
      <a:noFill/>
      <a:prstDash val="solid"/>
      <a:round/>
    </a:ln>
    <a:effectLst/>
  </c:spPr>
  <c:txPr>
    <a:bodyPr/>
    <a:lstStyle/>
    <a:p>
      <a:pPr>
        <a:defRPr sz="1100"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drawing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png"/><Relationship Id="rId1" Type="http://schemas.openxmlformats.org/officeDocument/2006/relationships/image" Target="../media/image1.jpeg"/><Relationship Id="rId4" Type="http://schemas.openxmlformats.org/officeDocument/2006/relationships/image" Target="../media/image4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0.09292</cdr:x>
      <cdr:y>0.03796</cdr:y>
    </cdr:from>
    <cdr:to>
      <cdr:x>0.40999</cdr:x>
      <cdr:y>0.80438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844350" y="247650"/>
          <a:ext cx="2881168" cy="500062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 u="sng" baseline="0">
              <a:solidFill>
                <a:schemeClr val="bg1">
                  <a:lumMod val="85000"/>
                </a:schemeClr>
              </a:solidFill>
            </a:rPr>
            <a:t>______________________________________</a:t>
          </a:r>
          <a:r>
            <a:rPr lang="en-US" sz="1100" baseline="0">
              <a:solidFill>
                <a:schemeClr val="bg1">
                  <a:lumMod val="85000"/>
                </a:schemeClr>
              </a:solidFill>
            </a:rPr>
            <a:t>Strong</a:t>
          </a:r>
        </a:p>
        <a:p xmlns:a="http://schemas.openxmlformats.org/drawingml/2006/main">
          <a:endParaRPr lang="en-US" sz="1100" baseline="0">
            <a:solidFill>
              <a:schemeClr val="bg1">
                <a:lumMod val="85000"/>
              </a:schemeClr>
            </a:solidFill>
          </a:endParaRPr>
        </a:p>
        <a:p xmlns:a="http://schemas.openxmlformats.org/drawingml/2006/main">
          <a:endParaRPr lang="en-US" sz="1100" baseline="0">
            <a:solidFill>
              <a:schemeClr val="bg1">
                <a:lumMod val="85000"/>
              </a:schemeClr>
            </a:solidFill>
          </a:endParaRPr>
        </a:p>
        <a:p xmlns:a="http://schemas.openxmlformats.org/drawingml/2006/main">
          <a:endParaRPr lang="en-US" sz="600" baseline="0">
            <a:solidFill>
              <a:schemeClr val="bg1">
                <a:lumMod val="85000"/>
              </a:schemeClr>
            </a:solidFill>
          </a:endParaRPr>
        </a:p>
        <a:p xmlns:a="http://schemas.openxmlformats.org/drawingml/2006/main">
          <a:endParaRPr lang="en-US" sz="1100" baseline="0">
            <a:solidFill>
              <a:schemeClr val="bg1">
                <a:lumMod val="85000"/>
              </a:schemeClr>
            </a:solidFill>
          </a:endParaRPr>
        </a:p>
        <a:p xmlns:a="http://schemas.openxmlformats.org/drawingml/2006/main">
          <a:endParaRPr lang="en-US" sz="1100" baseline="0">
            <a:solidFill>
              <a:schemeClr val="bg1">
                <a:lumMod val="85000"/>
              </a:schemeClr>
            </a:solidFill>
          </a:endParaRPr>
        </a:p>
        <a:p xmlns:a="http://schemas.openxmlformats.org/drawingml/2006/main">
          <a:r>
            <a:rPr lang="en-US" sz="800" baseline="0">
              <a:solidFill>
                <a:schemeClr val="bg1">
                  <a:lumMod val="85000"/>
                </a:schemeClr>
              </a:solidFill>
            </a:rPr>
            <a:t>_____________________________________________________</a:t>
          </a:r>
          <a:r>
            <a:rPr lang="en-US" sz="1100" baseline="0">
              <a:solidFill>
                <a:schemeClr val="bg1">
                  <a:lumMod val="85000"/>
                </a:schemeClr>
              </a:solidFill>
            </a:rPr>
            <a:t>Moderate</a:t>
          </a:r>
        </a:p>
        <a:p xmlns:a="http://schemas.openxmlformats.org/drawingml/2006/main">
          <a:endParaRPr lang="en-US" sz="900" baseline="0">
            <a:solidFill>
              <a:schemeClr val="bg1">
                <a:lumMod val="85000"/>
              </a:schemeClr>
            </a:solidFill>
          </a:endParaRPr>
        </a:p>
        <a:p xmlns:a="http://schemas.openxmlformats.org/drawingml/2006/main">
          <a:r>
            <a:rPr lang="en-US" sz="1400" baseline="0">
              <a:solidFill>
                <a:schemeClr val="bg1">
                  <a:lumMod val="85000"/>
                </a:schemeClr>
              </a:solidFill>
            </a:rPr>
            <a:t>______________________________</a:t>
          </a:r>
          <a:endParaRPr lang="en-US" sz="1100" baseline="0">
            <a:solidFill>
              <a:schemeClr val="bg1">
                <a:lumMod val="85000"/>
              </a:schemeClr>
            </a:solidFill>
          </a:endParaRPr>
        </a:p>
        <a:p xmlns:a="http://schemas.openxmlformats.org/drawingml/2006/main">
          <a:r>
            <a:rPr lang="en-US" sz="1100" baseline="0">
              <a:solidFill>
                <a:schemeClr val="bg1">
                  <a:lumMod val="85000"/>
                </a:schemeClr>
              </a:solidFill>
            </a:rPr>
            <a:t>Poor</a:t>
          </a:r>
        </a:p>
        <a:p xmlns:a="http://schemas.openxmlformats.org/drawingml/2006/main">
          <a:endParaRPr lang="en-US" sz="1100" baseline="0">
            <a:solidFill>
              <a:schemeClr val="bg1">
                <a:lumMod val="85000"/>
              </a:schemeClr>
            </a:solidFill>
          </a:endParaRPr>
        </a:p>
        <a:p xmlns:a="http://schemas.openxmlformats.org/drawingml/2006/main">
          <a:endParaRPr lang="en-US" sz="1100" baseline="0">
            <a:solidFill>
              <a:schemeClr val="bg1">
                <a:lumMod val="85000"/>
              </a:schemeClr>
            </a:solidFill>
          </a:endParaRPr>
        </a:p>
        <a:p xmlns:a="http://schemas.openxmlformats.org/drawingml/2006/main">
          <a:endParaRPr lang="en-US" sz="1100" baseline="0">
            <a:solidFill>
              <a:schemeClr val="bg1">
                <a:lumMod val="85000"/>
              </a:schemeClr>
            </a:solidFill>
          </a:endParaRPr>
        </a:p>
        <a:p xmlns:a="http://schemas.openxmlformats.org/drawingml/2006/main">
          <a:endParaRPr lang="en-US" sz="1100" baseline="0">
            <a:solidFill>
              <a:schemeClr val="bg1">
                <a:lumMod val="85000"/>
              </a:schemeClr>
            </a:solidFill>
          </a:endParaRPr>
        </a:p>
        <a:p xmlns:a="http://schemas.openxmlformats.org/drawingml/2006/main">
          <a:endParaRPr lang="en-US" sz="1100" baseline="0">
            <a:solidFill>
              <a:schemeClr val="bg1">
                <a:lumMod val="85000"/>
              </a:schemeClr>
            </a:solidFill>
          </a:endParaRPr>
        </a:p>
        <a:p xmlns:a="http://schemas.openxmlformats.org/drawingml/2006/main">
          <a:endParaRPr lang="en-US" sz="1200" baseline="0">
            <a:solidFill>
              <a:schemeClr val="bg1">
                <a:lumMod val="85000"/>
              </a:schemeClr>
            </a:solidFill>
          </a:endParaRPr>
        </a:p>
        <a:p xmlns:a="http://schemas.openxmlformats.org/drawingml/2006/main">
          <a:endParaRPr lang="en-US" sz="1400" baseline="0">
            <a:solidFill>
              <a:schemeClr val="bg1">
                <a:lumMod val="85000"/>
              </a:schemeClr>
            </a:solidFill>
          </a:endParaRPr>
        </a:p>
        <a:p xmlns:a="http://schemas.openxmlformats.org/drawingml/2006/main">
          <a:r>
            <a:rPr lang="en-US" sz="1100" baseline="0">
              <a:solidFill>
                <a:schemeClr val="bg1">
                  <a:lumMod val="85000"/>
                </a:schemeClr>
              </a:solidFill>
            </a:rPr>
            <a:t>______________________________________</a:t>
          </a:r>
        </a:p>
        <a:p xmlns:a="http://schemas.openxmlformats.org/drawingml/2006/main">
          <a:r>
            <a:rPr lang="en-US" sz="1100" baseline="0">
              <a:solidFill>
                <a:schemeClr val="bg1">
                  <a:lumMod val="85000"/>
                </a:schemeClr>
              </a:solidFill>
            </a:rPr>
            <a:t>TBD</a:t>
          </a:r>
        </a:p>
        <a:p xmlns:a="http://schemas.openxmlformats.org/drawingml/2006/main">
          <a:endParaRPr lang="en-US" sz="1200" baseline="0">
            <a:solidFill>
              <a:schemeClr val="bg1">
                <a:lumMod val="85000"/>
              </a:schemeClr>
            </a:solidFill>
          </a:endParaRPr>
        </a:p>
        <a:p xmlns:a="http://schemas.openxmlformats.org/drawingml/2006/main">
          <a:r>
            <a:rPr lang="en-US" sz="1100" baseline="0">
              <a:solidFill>
                <a:schemeClr val="bg1">
                  <a:lumMod val="85000"/>
                </a:schemeClr>
              </a:solidFill>
            </a:rPr>
            <a:t>______________________________________</a:t>
          </a:r>
        </a:p>
        <a:p xmlns:a="http://schemas.openxmlformats.org/drawingml/2006/main">
          <a:r>
            <a:rPr lang="en-US" sz="1100" baseline="0">
              <a:solidFill>
                <a:schemeClr val="bg1">
                  <a:lumMod val="85000"/>
                </a:schemeClr>
              </a:solidFill>
            </a:rPr>
            <a:t>Unsuccessful </a:t>
          </a:r>
        </a:p>
        <a:p xmlns:a="http://schemas.openxmlformats.org/drawingml/2006/main">
          <a:r>
            <a:rPr lang="en-US" sz="1100" baseline="0">
              <a:solidFill>
                <a:schemeClr val="bg1">
                  <a:lumMod val="85000"/>
                </a:schemeClr>
              </a:solidFill>
            </a:rPr>
            <a:t>Constitutional </a:t>
          </a:r>
        </a:p>
        <a:p xmlns:a="http://schemas.openxmlformats.org/drawingml/2006/main">
          <a:r>
            <a:rPr lang="en-US" sz="1100" baseline="0">
              <a:solidFill>
                <a:schemeClr val="bg1">
                  <a:lumMod val="85000"/>
                </a:schemeClr>
              </a:solidFill>
            </a:rPr>
            <a:t>Process</a:t>
          </a:r>
        </a:p>
        <a:p xmlns:a="http://schemas.openxmlformats.org/drawingml/2006/main">
          <a:endParaRPr lang="en-US" sz="1100" baseline="0">
            <a:solidFill>
              <a:schemeClr val="bg1">
                <a:lumMod val="85000"/>
              </a:schemeClr>
            </a:solidFill>
          </a:endParaRPr>
        </a:p>
        <a:p xmlns:a="http://schemas.openxmlformats.org/drawingml/2006/main">
          <a:endParaRPr lang="en-US" sz="1100">
            <a:solidFill>
              <a:schemeClr val="bg1">
                <a:lumMod val="85000"/>
              </a:schemeClr>
            </a:solidFill>
          </a:endParaRPr>
        </a:p>
      </cdr:txBody>
    </cdr:sp>
  </cdr:relSizeAnchor>
  <cdr:relSizeAnchor xmlns:cdr="http://schemas.openxmlformats.org/drawingml/2006/chartDrawing">
    <cdr:from>
      <cdr:x>0.92558</cdr:x>
      <cdr:y>0.12993</cdr:y>
    </cdr:from>
    <cdr:to>
      <cdr:x>0.9756</cdr:x>
      <cdr:y>0.26925</cdr:y>
    </cdr:to>
    <cdr:pic>
      <cdr:nvPicPr>
        <cdr:cNvPr id="3" name="Picture 2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8410634" y="847765"/>
          <a:ext cx="454524" cy="909011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0.82285</cdr:x>
      <cdr:y>0.13151</cdr:y>
    </cdr:from>
    <cdr:to>
      <cdr:x>0.92453</cdr:x>
      <cdr:y>0.2739</cdr:y>
    </cdr:to>
    <cdr:pic>
      <cdr:nvPicPr>
        <cdr:cNvPr id="4" name="Picture 3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2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7477087" y="858052"/>
          <a:ext cx="923963" cy="929029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0.81342</cdr:x>
      <cdr:y>0.0438</cdr:y>
    </cdr:from>
    <cdr:to>
      <cdr:x>0.86493</cdr:x>
      <cdr:y>0.11533</cdr:y>
    </cdr:to>
    <cdr:pic>
      <cdr:nvPicPr>
        <cdr:cNvPr id="6" name="Picture 5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3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7391401" y="285750"/>
          <a:ext cx="468120" cy="466725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0.86723</cdr:x>
      <cdr:y>0.04866</cdr:y>
    </cdr:from>
    <cdr:to>
      <cdr:x>0.98672</cdr:x>
      <cdr:y>0.11372</cdr:y>
    </cdr:to>
    <cdr:pic>
      <cdr:nvPicPr>
        <cdr:cNvPr id="9" name="Picture 8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4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7880350" y="317501"/>
          <a:ext cx="1085850" cy="424453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50F05-4277-41A0-9657-4FAE6182A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TravisZ</dc:creator>
  <cp:keywords/>
  <dc:description/>
  <cp:lastModifiedBy>TravisZ</cp:lastModifiedBy>
  <cp:revision>27</cp:revision>
  <dcterms:created xsi:type="dcterms:W3CDTF">2014-05-13T20:55:00Z</dcterms:created>
  <dcterms:modified xsi:type="dcterms:W3CDTF">2014-06-30T12:37:00Z</dcterms:modified>
</cp:coreProperties>
</file>